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Autospacing="0" w:before="240" w:afterAutospacing="0" w:after="198"/>
        <w:ind w:left="0" w:right="567"/>
        <w:jc w:val="left"/>
        <w:rPr/>
      </w:pPr>
      <w:r>
        <w:rPr>
          <w:rFonts w:eastAsia="Calibri" w:cs="Calibri" w:ascii="Calibri" w:hAnsi="Calibri"/>
          <w:b/>
          <w:bCs/>
          <w:color w:val="C9211E"/>
          <w:sz w:val="22"/>
          <w:szCs w:val="22"/>
          <w:u w:val="single"/>
          <w:lang w:val="pt-BR"/>
        </w:rPr>
        <w:t>ORIENTAÇÕES (NÃO COPIAR):</w:t>
      </w:r>
    </w:p>
    <w:p>
      <w:pPr>
        <w:pStyle w:val="Normal"/>
        <w:suppressLineNumbers w:val="0"/>
        <w:bidi w:val="0"/>
        <w:spacing w:lineRule="auto" w:line="276" w:beforeAutospacing="0" w:before="240" w:afterAutospacing="0" w:after="198"/>
        <w:ind w:left="0" w:right="567"/>
        <w:jc w:val="left"/>
        <w:rPr/>
      </w:pPr>
      <w:r>
        <w:rPr>
          <w:rFonts w:eastAsia="Calibri" w:cs="Calibri" w:ascii="Calibri" w:hAnsi="Calibri"/>
          <w:b/>
          <w:bCs/>
          <w:color w:val="C9211E"/>
          <w:sz w:val="22"/>
          <w:szCs w:val="22"/>
          <w:u w:val="single"/>
          <w:lang w:val="pt-BR"/>
        </w:rPr>
        <w:t>No Processo SEI, clique em “Incluir documento”, selecione o tipo “Relatório”;</w:t>
      </w:r>
    </w:p>
    <w:p>
      <w:pPr>
        <w:pStyle w:val="Normal"/>
        <w:spacing w:lineRule="auto" w:line="276" w:beforeAutospacing="0" w:before="240" w:afterAutospacing="0" w:after="198"/>
        <w:ind w:left="0" w:right="567"/>
        <w:jc w:val="left"/>
        <w:rPr>
          <w:rFonts w:ascii="Calibri" w:hAnsi="Calibri" w:eastAsia="Calibri" w:cs="Calibri"/>
          <w:b/>
          <w:bCs/>
          <w:color w:val="C9211E"/>
          <w:sz w:val="22"/>
          <w:szCs w:val="22"/>
          <w:u w:val="single"/>
          <w:lang w:val="pt-BR"/>
        </w:rPr>
      </w:pPr>
      <w:r>
        <w:rPr>
          <w:rFonts w:eastAsia="Calibri" w:cs="Calibri" w:ascii="Calibri" w:hAnsi="Calibri"/>
          <w:b/>
          <w:bCs/>
          <w:color w:val="C9211E"/>
          <w:sz w:val="22"/>
          <w:szCs w:val="22"/>
          <w:u w:val="single"/>
          <w:lang w:val="pt-BR"/>
        </w:rPr>
        <w:t>Preencha o campo “Nome na Árvore” com “Final”.</w:t>
      </w:r>
    </w:p>
    <w:p>
      <w:pPr>
        <w:pStyle w:val="Normal"/>
        <w:jc w:val="center"/>
        <w:rPr>
          <w:rFonts w:cs="Calibri" w:cstheme="minorAscii"/>
          <w:b/>
          <w:bCs/>
        </w:rPr>
      </w:pPr>
      <w:r>
        <w:rPr>
          <w:rFonts w:cs="Calibri" w:cstheme="minorAscii"/>
          <w:b/>
          <w:bCs/>
        </w:rPr>
      </w:r>
    </w:p>
    <w:p>
      <w:pPr>
        <w:pStyle w:val="Normal"/>
        <w:spacing w:lineRule="auto" w:line="240" w:before="0" w:after="0"/>
        <w:ind w:right="567"/>
        <w:jc w:val="center"/>
        <w:rPr/>
      </w:pPr>
      <w:r>
        <w:rPr/>
        <w:t>Universidade de Brasília</w:t>
      </w:r>
    </w:p>
    <w:p>
      <w:pPr>
        <w:pStyle w:val="Normal"/>
        <w:spacing w:lineRule="auto" w:line="240" w:before="0" w:after="0"/>
        <w:ind w:right="567"/>
        <w:jc w:val="center"/>
        <w:rPr/>
      </w:pPr>
      <w:r>
        <w:rPr/>
        <w:t>Comissão de Processo Administrativo Disciplinar nº (número)</w:t>
      </w:r>
      <w:r>
        <w:rPr>
          <w:rFonts w:cs="Calibri" w:cstheme="minorAscii"/>
          <w:b/>
          <w:bCs/>
        </w:rPr>
        <w:t xml:space="preserve"> </w:t>
      </w:r>
    </w:p>
    <w:p>
      <w:pPr>
        <w:pStyle w:val="Normal"/>
        <w:jc w:val="center"/>
        <w:rPr>
          <w:rFonts w:cs="Calibri" w:cstheme="minorAscii"/>
          <w:b/>
          <w:bCs/>
        </w:rPr>
      </w:pPr>
      <w:r>
        <w:rPr>
          <w:rFonts w:cs="Calibri" w:cstheme="minorAscii"/>
          <w:b/>
          <w:bCs/>
        </w:rPr>
      </w:r>
    </w:p>
    <w:p>
      <w:pPr>
        <w:pStyle w:val="Normal"/>
        <w:jc w:val="center"/>
        <w:rPr>
          <w:rFonts w:cs="Calibri" w:cstheme="minorAscii"/>
          <w:b/>
          <w:bCs/>
        </w:rPr>
      </w:pPr>
      <w:r>
        <w:rPr>
          <w:rFonts w:cs="Calibri" w:cstheme="minorAscii"/>
          <w:b/>
          <w:bCs/>
        </w:rPr>
        <w:t>RELATÓRIO FINAL</w:t>
      </w:r>
    </w:p>
    <w:p>
      <w:pPr>
        <w:pStyle w:val="Normal"/>
        <w:jc w:val="center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À Magnífica Reitora,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A Comissão de Processo Administrativo Disciplinar designada pelo Ato da Reitoria nº (NÚMERO/ano), publicada no Boletim de Atos Oficiais da UNB em (DATA), tendo como último ato de prorrogação/recondução o Ato da Reitoria nº (NÚMERO/ano), publicada no Boletim de Atos Oficiais da UNB em (DATA), para apuração dos fatos constantes no Processo SEI nº (NÚMERO DO PROCESSO), vem apresentar o presente RELATÓRIO FINAL, nos termos do art. 165 da Lei nº 8.112/1990 e da Portaria Normativa CGU nº 27/2022, que dispõe sobre o Sistema de Correição do Poder Executivo Federal de que trata o Decreto nº 5.480, de 30 de junho de 2005, e sobre a atividade correcional nos órgãos e entidades do Poder Executivo Federal..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1. DOS ANTECEDENTES PROCESSUAIS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>1.1. Trata-se de Processo Administrativo Disciplinar instaurado pelo Ato da Reitoria nº (NÚMERO/ano), publicada no Boletim de Atos Oficiais da UNB em (DATA),</w:t>
      </w:r>
      <w:r>
        <w:rPr/>
        <w:t xml:space="preserve"> (INSERIR POSSÍVEIS PRORROGAÇÕES E RECONDUÇÕES), </w:t>
      </w:r>
      <w:r>
        <w:rPr>
          <w:rFonts w:cs="Calibri" w:ascii="Calibri" w:hAnsi="Calibri"/>
          <w:sz w:val="24"/>
          <w:szCs w:val="24"/>
        </w:rPr>
        <w:t xml:space="preserve">e </w:t>
      </w:r>
      <w:r>
        <w:rPr>
          <w:rFonts w:cs="Calibri" w:cstheme="minorAscii"/>
        </w:rPr>
        <w:t xml:space="preserve">tendo como último ato de prorrogação/recondução o Ato da Reitoria nº (NÚMERO/ano), publicada no Boletim de Atos Oficiais da UNB em (DATA), para a apuração de possível (INDICAR O FATO SOB APURAÇÃO), por (NOME DO ACUSADO/INDICIADO), ocupante do cargo (CARGO), matrícula Siape XXXXX, lotado no XXXXXXXX. 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>
          <w:rFonts w:cs="Calibri" w:cstheme="minorAscii"/>
        </w:rPr>
      </w:pPr>
      <w:r>
        <w:rPr>
          <w:rFonts w:cs="Calibri" w:cstheme="minorAscii"/>
        </w:rPr>
        <w:t>1.2. Conforme apuração inicial realizada pelo [INDICAR UNIDADE RESPONSÁVEL, GERALMENTE AAMC, HUB OU UNIDADE ACADÊMICA], juntado aos autos sob o SEI nº (NÚMERO SEI), tem-se que: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OS FATOS APURADOS NA ADMISSIBILIDADE); e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OS FATOS APURADOR NA ADMISSIBILIDADE).</w:t>
      </w:r>
    </w:p>
    <w:p>
      <w:pPr>
        <w:pStyle w:val="Normal"/>
        <w:jc w:val="both"/>
        <w:rPr/>
      </w:pPr>
      <w:r>
        <w:rPr>
          <w:rFonts w:cs="Calibri" w:cstheme="minorAscii"/>
        </w:rPr>
        <w:t>1.3. Durante essa fase, foram apurados os seguintes elementos de informação: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/>
      </w:pPr>
      <w:r>
        <w:rPr>
          <w:rFonts w:cs="Calibri" w:cstheme="minorAscii"/>
        </w:rPr>
        <w:t>- (INDICAR ELEMENTOS DE INFORMAÇÃO APURADOS NA ADMISSIBILIDADE); e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/>
      </w:pPr>
      <w:r>
        <w:rPr>
          <w:rFonts w:cs="Calibri" w:cstheme="minorAscii"/>
        </w:rPr>
        <w:t>- (INDICAR ELEMENTOS DE INFORMAÇÃO APURADOS NA ADMISSIBILIDADE).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>
          <w:rFonts w:cs="Calibri" w:cstheme="minorAscii"/>
        </w:rPr>
      </w:pPr>
      <w:r>
        <w:rPr>
          <w:rFonts w:cs="Calibri" w:cstheme="minorAsci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2. DA APURAÇÃO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2.1. A apuração teve início em (DATA), data da instalação da Comissão de Processo Administrativo Disciplinar (CITAR DOCUMENTO).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2.2. O acusado foi notificado previamente, por meio eletrônico, em (DATA), ocasião na qual foi aberto prazo que o investigado apresentasse endereço eletrônico para as comunicações processuais subsequentes e especificasse as provas que queria produzir.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>2.3. Em (DATA), o acusado confirmou o recebimento da notificação, solicitou a produção de (CITAR AS PROVAS SOLICITADAS) e solicitou que fosse juntado aos autos os seguintes documentos (CITAR DOCUMENTOS JUNTADOS).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>2.4. Durante a fase de produção probatória, a comissão realizou os seguintes atos:</w:t>
      </w:r>
    </w:p>
    <w:p>
      <w:pPr>
        <w:pStyle w:val="ListParagraph"/>
        <w:numPr>
          <w:ilvl w:val="0"/>
          <w:numId w:val="2"/>
        </w:numPr>
        <w:jc w:val="both"/>
        <w:rPr>
          <w:rFonts w:cs="Calibri" w:cstheme="minorHAnsi"/>
        </w:rPr>
      </w:pPr>
      <w:r>
        <w:rPr>
          <w:rFonts w:cs="Calibri" w:cstheme="minorHAnsi"/>
        </w:rPr>
        <w:t>ESPECIFICAR DILIGÊNCIAS REALIZADAS EM ORDEM CRONOLÓGICA.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Ascii"/>
        </w:rPr>
        <w:t>2.5. Finalizada a produção probatória, o acusado foi intimado para a realização de seu interrogatório em (DATA).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2.6. Em seu interrogatório, o acusado alegou em suma que (INDICAR LOCALIZAÇÃO DO DOCUMENTO):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ALEGAÇÃO); e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Ascii"/>
        </w:rPr>
        <w:t>- (INDICAR ALEGAÇÃO).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>
          <w:rFonts w:cs="Calibri" w:cstheme="minorAscii"/>
          <w:highlight w:val="yellow"/>
        </w:rPr>
      </w:pPr>
      <w:r>
        <w:rPr>
          <w:rFonts w:cs="Calibri" w:cstheme="minorAscii"/>
          <w:highlight w:val="yellow"/>
        </w:rPr>
        <w:t>(TEXTO ALTERNATIVO: 2.6. Conforme registrado em termo (INDICAR LOCALIZAÇÃO DO DOCUMENTO), o acusado não compareceu ao interrogatório no dia e horário marcado para essa diligência).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>2.8. Com provas colhidas e juntadas ao processo, a comissão entendeu por encerrar a instrução processual e concluiu o termo de indiciamento em (DATA), (INDICAR LOCALIZAÇÃO DO DOCUMENTO), com a respectiva citação na mesma data (INDICAR LOCALIZAÇÃO DO DOCUMENTO).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3. DO TERMO DE INDICIAÇÃO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3.1. No termo de indiciação, foi imputada ao indiciado a conduta de (ESPECIFICAR A CONDUTA), descumprindo assim (INDICAR DISPOSITIVOS LEGAIS), nos seguintes termos: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OS FATOS IMPUTADOS AO INDICIADO); e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- (INDICAR OS FATOS IMPUTADOS AO INDICIADO).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A despeito de suas iniciais alegações (CITAR AS ALEGAÇÕES), verificou-se que (ESPECIFICAR A PROVA E A CONCLUSÃO PRELIMINAR DA COMISSÃO). 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Dessa feita, a conduta de (ESPECIFICAR A CONDUTA) configura (ESPECIFICAR A INFRAÇÃO FUNCIONAL), fato que se enquadra nos seguintes dispositivos da Lei nº 8.112/90: (ESPECIFICAR OS DISPOSITIVOS)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4. DA ANÁLISE DA DEFESA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4.1. O indiciado apresentou sua defesa escrita em (DATA) (CITAR DOCUMENTO). A peça defensiva apresenta o relato dos fatos e as seguintes alegações: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  <w:shd w:fill="FFFF00" w:val="clear"/>
        </w:rPr>
        <w:t>(TEXTO ALTERNATIVO: 4.1. O indiciado não apresentou sua defesa no prazo estabelecido pela comissão (INDICAR TERMO DE REVELIA), motivo pela qual foi nomeado um defensor dativo (indicar). A peça defensiva apresenta o relato dos fatos e as seguintes alegações: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4.1.1. Das preliminares (especificar e analisar as alegações preliminares):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a) [CITAR ALEGAÇÕES];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4.1.2. Do mérito (especificar e analisar as alegações de mérito):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a) [CITAR ALEGAÇÕES];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4.2. Esses são os principais argumentos trazidos pela defesa. 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4.3. Sobre a alegação apresentada no item 4.1.1, alínea “a” [REALIZAR A ANÁLISE POR ALEGAÇÃO], ao contrário do alegado pela defesa, as informações constantes no processo expressam a verdade real dos fatos: (CITAR O FATO PROVADO E AS CIRCUNSTÂNCIAS APURADAS NOS AUTOS)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Ascii"/>
        </w:rPr>
        <w:t xml:space="preserve">4.4. Verifica-se, assim, que o acusado (CONCLUSÃO DA COMISSÃO SOBRE A CONDUTA DO ACUSADO) </w:t>
      </w:r>
    </w:p>
    <w:p>
      <w:pPr>
        <w:pStyle w:val="Normal"/>
        <w:suppressLineNumbers w:val="0"/>
        <w:bidi w:val="0"/>
        <w:spacing w:lineRule="auto" w:line="259" w:beforeAutospacing="0" w:before="0" w:afterAutospacing="0" w:after="160"/>
        <w:ind w:left="0" w:right="0"/>
        <w:jc w:val="both"/>
        <w:rPr>
          <w:rFonts w:cs="Calibri" w:cstheme="minorAscii"/>
          <w:highlight w:val="yellow"/>
        </w:rPr>
      </w:pPr>
      <w:r>
        <w:rPr>
          <w:rFonts w:cs="Calibri" w:cstheme="minorAscii"/>
          <w:highlight w:val="yellow"/>
        </w:rPr>
        <w:t>(TEXTO ALTERNATIVO: 4.3. Sobre a alegação apresentada no item 4.1.1, alínea “a” [REALIZAR A ANÁLISE POR ALEGAÇÃO], de fato, ao analisar os argumentos apresentados pela defesa essa comissão altera (integralmente/parcialmente) seu entendimento inicial pelos seguintes motivos: [CITAR MOTIVOS]</w:t>
      </w:r>
    </w:p>
    <w:p>
      <w:pPr>
        <w:pStyle w:val="Normal"/>
        <w:jc w:val="both"/>
        <w:rPr>
          <w:rFonts w:cs="Calibri" w:cstheme="minorAscii"/>
          <w:highlight w:val="yellow"/>
        </w:rPr>
      </w:pPr>
      <w:r>
        <w:rPr>
          <w:rFonts w:cs="Calibri" w:cstheme="minorAscii"/>
          <w:highlight w:val="yellow"/>
        </w:rPr>
        <w:t>4.4. Verifica-se, assim, que o acusado (CONCLUSÃO DA COMISSÃO SOBRE A CONDUTA DO ACUSADO) )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4.5. Pelo exposto, esta comissão entende que no caso dos autos, (DISCORRER SOBRE AS CONCLUSÕES DA COMISSÃO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</w:rPr>
        <w:t xml:space="preserve">4.6. Assim, esta comissão mantém o entendimento fixado no termo de indiciamento (CITAR O ENTENDIMENTO). </w:t>
      </w:r>
    </w:p>
    <w:p>
      <w:pPr>
        <w:pStyle w:val="Normal"/>
        <w:jc w:val="both"/>
        <w:rPr>
          <w:rFonts w:cs="Calibri" w:cstheme="minorAscii"/>
        </w:rPr>
      </w:pPr>
      <w:r>
        <w:rPr>
          <w:rFonts w:cs="Calibri" w:cstheme="minorAscii"/>
          <w:highlight w:val="yellow"/>
        </w:rPr>
        <w:t>(TEXTO ALTERNATIVO: 4.6. Assim, esta comissão revê o posicionamento contido no termo de indiciamento, entendendo que (ENTENDIMENTO ATUAL))</w:t>
      </w:r>
    </w:p>
    <w:p>
      <w:pPr>
        <w:pStyle w:val="Normal"/>
        <w:jc w:val="both"/>
        <w:rPr>
          <w:rFonts w:cs="Calibri" w:cstheme="minorHAnsi"/>
          <w:color w:themeColor="accent1" w:val="4472C4"/>
        </w:rPr>
      </w:pPr>
      <w:r>
        <w:rPr>
          <w:rFonts w:cs="Calibri" w:cstheme="minorHAnsi"/>
          <w:color w:themeColor="accent1" w:val="4472C4"/>
        </w:rPr>
      </w:r>
    </w:p>
    <w:p>
      <w:pPr>
        <w:pStyle w:val="textojustificadomaiusculas"/>
        <w:spacing w:beforeAutospacing="0" w:before="120" w:afterAutospacing="0" w:after="120"/>
        <w:ind w:right="120"/>
        <w:jc w:val="both"/>
        <w:rPr>
          <w:rFonts w:ascii="Calibri" w:hAnsi="Calibri" w:cs="Calibri" w:asciiTheme="minorHAnsi" w:cstheme="minorHAnsi" w:hAnsiTheme="minorHAnsi"/>
          <w:caps/>
          <w:color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5.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>DA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Style w:val="Strong"/>
          <w:rFonts w:cs="Calibri" w:ascii="Calibri" w:hAnsi="Calibri" w:asciiTheme="minorHAnsi" w:cstheme="minorHAnsi" w:hAnsiTheme="minorHAnsi"/>
          <w:caps/>
          <w:color w:val="000000"/>
          <w:sz w:val="22"/>
          <w:szCs w:val="22"/>
        </w:rPr>
        <w:t>DOSIMETRIA DA PENA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>5.1. A dosimetria da pena a ser aplicada em face das aludidas irregularidades será realizada com base no “Guia Teórico e Prático da Dosimetria das Sanções Disciplinares”, desenvolvido pela Corregedoria-Geral da União.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 w:asciiTheme="minorHAnsi" w:cstheme="minorHAnsi" w:hAnsiTheme="minorHAnsi"/>
          <w:color w:val="000000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000000"/>
          <w:sz w:val="22"/>
          <w:szCs w:val="22"/>
        </w:rPr>
        <w:t>5.2. O mencionado Guia foi elaborado com o objetivo de atribuir objetividade aos elementos balizadores da dosimetria da pena, estabelecidos pelo art. 128 da Lei nº 8.112/90, que assim dispõe:</w:t>
      </w:r>
    </w:p>
    <w:p>
      <w:pPr>
        <w:pStyle w:val="citacao"/>
        <w:spacing w:beforeAutospacing="0" w:before="80" w:afterAutospacing="0" w:after="80"/>
        <w:ind w:left="2400"/>
        <w:jc w:val="both"/>
        <w:rPr>
          <w:rFonts w:ascii="Calibri" w:hAnsi="Calibri" w:cs="Calibri" w:asciiTheme="minorHAnsi" w:cstheme="minorHAnsi" w:hAnsiTheme="minorHAnsi"/>
          <w:color w:val="000000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color w:val="000000"/>
          <w:sz w:val="20"/>
          <w:szCs w:val="20"/>
        </w:rPr>
        <w:t>Art. 128. Na aplicação das penalidades serão consideradas a natureza e a gravidade da infração cometida, os danos que dela provierem para o serviço público, as circunstâncias agravantes ou atenuantes e os antecedentes funcionais.</w:t>
      </w:r>
    </w:p>
    <w:p>
      <w:pPr>
        <w:pStyle w:val="paragrafonumeradonivel1"/>
        <w:spacing w:beforeAutospacing="0" w:before="120" w:afterAutospacing="0" w:after="12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5.3. Nos termos desse Guia, os elementos balizadores 'natureza', 'gravidade da infração', 'circunstâncias agravantes' e 'maus antecedentes' poderão ser valorados de 1 a 21 graus. Já o elemento 'dano' poderá ser valorado de zero a 21 graus. Quanto aos elementos 'atenuantes' e 'bons antecedentes funcionais' poderão ser pontuados de zero a (-) 21 graus. A reincidência, por sua vez, será avaliada apartada dos antecedentes funcionais e observada somente quando do término da ponderação estipulada pelo artigo 128, em uma segunda fase, de modo a garantir e salvaguardar a aplicação da penalidade justa e adequada.</w:t>
      </w:r>
    </w:p>
    <w:p>
      <w:pPr>
        <w:pStyle w:val="paragrafonumeradonivel1"/>
        <w:spacing w:beforeAutospacing="0" w:before="120" w:afterAutospacing="0" w:after="12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5.4. O valor obtido da soma de todos os graus será aplicado em uma "régua de graus e penalidade cabível" que varia de 0 a 105 graus, obtendo-se a sanção a ser aplicada. Nessa régua, caso a soma dos graus seja de 0 a 15, será indicada a penalidade de advertência. Já para o valor da soma dos graus entre 16 e 105, a régua indicará a penalidade de suspensão, sendo os dias calculados conforme escala da referida régua. Por fim, na análise de cada irregularidade constará tabela de valores dos graus, com a devida fundamentação das pontuações.</w:t>
      </w:r>
    </w:p>
    <w:p>
      <w:pPr>
        <w:pStyle w:val="paragrafonumeradonivel1"/>
        <w:spacing w:beforeAutospacing="0" w:before="120" w:afterAutospacing="0" w:after="120"/>
        <w:ind w:right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5.5. Pontuado isso, passa-se a analisar a dosimetria aplicada às irregularidades identificadas.</w:t>
      </w:r>
    </w:p>
    <w:p>
      <w:pPr>
        <w:pStyle w:val="textojustificadorecuoprimeiralinha"/>
        <w:spacing w:beforeAutospacing="0" w:before="120" w:afterAutospacing="0" w:after="120"/>
        <w:ind w:firstLine="1418" w:left="120" w:right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Strong"/>
          <w:rFonts w:cs="Calibri" w:ascii="Calibri" w:hAnsi="Calibri"/>
          <w:color w:val="000000"/>
          <w:sz w:val="22"/>
          <w:szCs w:val="22"/>
        </w:rPr>
        <w:t>Da Natureza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 </w:t>
      </w:r>
      <w:r>
        <w:rPr>
          <w:rFonts w:cs="Calibri" w:ascii="Calibri" w:hAnsi="Calibri"/>
          <w:color w:val="000000"/>
          <w:sz w:val="22"/>
          <w:szCs w:val="22"/>
        </w:rPr>
        <w:t>5.6. O critério 'natureza' refere-se ao elemento subjetivo da conduta, que corresponde ao comportamento e manifestação da vontade do agente público quando do cometimento do ato, podendo ser dolo ou culpa (que pode ser leve ou grave). 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5.7. No presente caso, a comissão verificou que a conduta do acusado foi realizada mediante 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culpa leve, culpa grave ou erro grosseiro, ou dolo</w:t>
      </w:r>
      <w:r>
        <w:rPr>
          <w:rFonts w:cs="Calibri" w:ascii="Calibri" w:hAnsi="Calibri"/>
          <w:color w:val="000000"/>
          <w:sz w:val="22"/>
          <w:szCs w:val="22"/>
        </w:rPr>
        <w:t>) caracterizada pela 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fazer a descrição das condutas que levaram a tal conclusão</w:t>
      </w:r>
      <w:r>
        <w:rPr>
          <w:rFonts w:cs="Calibri" w:ascii="Calibri" w:hAnsi="Calibri"/>
          <w:color w:val="000000"/>
          <w:sz w:val="22"/>
          <w:szCs w:val="22"/>
        </w:rPr>
        <w:t xml:space="preserve">). 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5.8. Assim, considerando esse contexto entende-se que o acusado agiu com 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culpa leve, culpa grave ou dolo</w:t>
      </w:r>
      <w:r>
        <w:rPr>
          <w:rFonts w:cs="Calibri" w:ascii="Calibri" w:hAnsi="Calibri"/>
          <w:color w:val="000000"/>
          <w:sz w:val="22"/>
          <w:szCs w:val="22"/>
        </w:rPr>
        <w:t>), atribuindo a pontuação de 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número</w:t>
      </w:r>
      <w:r>
        <w:rPr>
          <w:rFonts w:cs="Calibri" w:ascii="Calibri" w:hAnsi="Calibri"/>
          <w:color w:val="000000"/>
          <w:sz w:val="22"/>
          <w:szCs w:val="22"/>
        </w:rPr>
        <w:t>) graus (em 21 máximos) ao elemento natureza.</w:t>
      </w:r>
    </w:p>
    <w:p>
      <w:pPr>
        <w:pStyle w:val="textojustificadorecuoprimeiralinha"/>
        <w:spacing w:beforeAutospacing="0" w:before="120" w:afterAutospacing="0" w:after="120"/>
        <w:ind w:firstLine="141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Strong"/>
          <w:rFonts w:cs="Calibri" w:ascii="Calibri" w:hAnsi="Calibri"/>
          <w:color w:val="000000"/>
          <w:sz w:val="22"/>
          <w:szCs w:val="22"/>
        </w:rPr>
        <w:t>Da Gravidade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5.9. O elemento gravidade, nos termos do mencionado “Guia”, refere-se ao potencial lesivo da infração, ou seja, o grau de ofensa à norma que protege determinado bem jurídico. Trata-se de avaliar a qualidade da violação, do ataque à ordem jurídica.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5.10. No presente caso a comissão entende que a conduta do servidor foi de 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leve, média ou alta</w:t>
      </w:r>
      <w:r>
        <w:rPr>
          <w:rFonts w:cs="Calibri" w:ascii="Calibri" w:hAnsi="Calibri"/>
          <w:color w:val="000000"/>
          <w:sz w:val="22"/>
          <w:szCs w:val="22"/>
        </w:rPr>
        <w:t>) gravidade, permitindo que (descrever a conduta e o nexo com a ocorrência da irregularidade). Assim, a comissão atribui o quantitativo de 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número</w:t>
      </w:r>
      <w:r>
        <w:rPr>
          <w:rFonts w:cs="Calibri" w:ascii="Calibri" w:hAnsi="Calibri"/>
          <w:color w:val="000000"/>
          <w:sz w:val="22"/>
          <w:szCs w:val="22"/>
        </w:rPr>
        <w:t>)</w:t>
      </w:r>
      <w:r>
        <w:rPr>
          <w:rStyle w:val="Strong"/>
          <w:rFonts w:cs="Calibri" w:ascii="Calibri" w:hAnsi="Calibri"/>
          <w:color w:val="000000"/>
          <w:sz w:val="22"/>
          <w:szCs w:val="22"/>
        </w:rPr>
        <w:t> </w:t>
      </w:r>
      <w:r>
        <w:rPr>
          <w:rFonts w:cs="Calibri" w:ascii="Calibri" w:hAnsi="Calibri"/>
          <w:color w:val="000000"/>
          <w:sz w:val="22"/>
          <w:szCs w:val="22"/>
        </w:rPr>
        <w:t>pontos ao elemento gravidade.</w:t>
      </w:r>
    </w:p>
    <w:p>
      <w:pPr>
        <w:pStyle w:val="textojustificadorecuoprimeiralinha"/>
        <w:spacing w:beforeAutospacing="0" w:before="120" w:afterAutospacing="0" w:after="120"/>
        <w:ind w:firstLine="141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Strong"/>
          <w:rFonts w:cs="Calibri" w:ascii="Calibri" w:hAnsi="Calibri"/>
          <w:color w:val="000000"/>
          <w:sz w:val="22"/>
          <w:szCs w:val="22"/>
        </w:rPr>
        <w:t>Do Dano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5.11. Conforme o Guia de Dosimetria, a partir do momento em que se verifica a existência do ato infracional, deve-se efetuar uma análise pormenorizada quanto à existência e ao valor do dano decorrente de tal conduta, ou seja, da lesão ao bem jurídico protegido pelo Poder Público.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5.12. No caso em tela, entende-se que houve dano 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leve, médio, grave ou se foi inexistente</w:t>
      </w:r>
      <w:r>
        <w:rPr>
          <w:rFonts w:cs="Calibri" w:ascii="Calibri" w:hAnsi="Calibri"/>
          <w:color w:val="000000"/>
          <w:sz w:val="22"/>
          <w:szCs w:val="22"/>
        </w:rPr>
        <w:t>) já que 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descrever a ocorrência, incluindo valor do prejuízo, se houver</w:t>
      </w:r>
      <w:r>
        <w:rPr>
          <w:rFonts w:cs="Calibri" w:ascii="Calibri" w:hAnsi="Calibri"/>
          <w:color w:val="000000"/>
          <w:sz w:val="22"/>
          <w:szCs w:val="22"/>
        </w:rPr>
        <w:t xml:space="preserve">). 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5.13. Assim, do exposto, entende-se que o dano causado foi 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leve, médio, grave ou se foi inexistente</w:t>
      </w:r>
      <w:r>
        <w:rPr>
          <w:rFonts w:cs="Calibri" w:ascii="Calibri" w:hAnsi="Calibri"/>
          <w:color w:val="000000"/>
          <w:sz w:val="22"/>
          <w:szCs w:val="22"/>
        </w:rPr>
        <w:t>) e atribui-se a pontuação de 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número</w:t>
      </w:r>
      <w:r>
        <w:rPr>
          <w:rFonts w:cs="Calibri" w:ascii="Calibri" w:hAnsi="Calibri"/>
          <w:color w:val="000000"/>
          <w:sz w:val="22"/>
          <w:szCs w:val="22"/>
        </w:rPr>
        <w:t xml:space="preserve">) </w:t>
      </w:r>
      <w:r>
        <w:rPr>
          <w:rStyle w:val="Strong"/>
          <w:rFonts w:cs="Calibri" w:ascii="Calibri" w:hAnsi="Calibri"/>
          <w:b w:val="false"/>
          <w:bCs w:val="false"/>
          <w:color w:val="000000"/>
          <w:sz w:val="22"/>
          <w:szCs w:val="22"/>
        </w:rPr>
        <w:t>pontos</w:t>
      </w:r>
      <w:r>
        <w:rPr>
          <w:rFonts w:cs="Calibri" w:ascii="Calibri" w:hAnsi="Calibri"/>
          <w:color w:val="000000"/>
          <w:sz w:val="22"/>
          <w:szCs w:val="22"/>
        </w:rPr>
        <w:t> dentre os 21 possíveis.</w:t>
      </w:r>
    </w:p>
    <w:p>
      <w:pPr>
        <w:pStyle w:val="textojustificadorecuoprimeiralinha"/>
        <w:spacing w:beforeAutospacing="0" w:before="120" w:afterAutospacing="0" w:after="120"/>
        <w:ind w:firstLine="141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Strong"/>
          <w:rFonts w:cs="Calibri" w:ascii="Calibri" w:hAnsi="Calibri"/>
          <w:color w:val="000000"/>
          <w:sz w:val="22"/>
          <w:szCs w:val="22"/>
        </w:rPr>
        <w:t>Das circunstâncias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5.14. Constatada a ocorrência do ato infracional, deve-se verificar as peculiaridades do caso, ou seja, as circunstâncias em que a conduta ocorreu. As circunstâncias referem-se ao contexto da irregularidade, são situações que podem atenuar ou agravar o “grau” da irregularidade e da sanção a ser aplicada. Têm-se as circunstâncias agravantes e as atenuantes.</w:t>
      </w:r>
    </w:p>
    <w:p>
      <w:pPr>
        <w:pStyle w:val="paragrafonumeradonivel1"/>
        <w:spacing w:beforeAutospacing="0" w:before="120" w:afterAutospacing="0" w:after="120"/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 </w:t>
      </w:r>
      <w:r>
        <w:rPr>
          <w:rFonts w:cs="Calibri" w:ascii="Calibri" w:hAnsi="Calibri"/>
          <w:color w:val="000000"/>
          <w:sz w:val="22"/>
          <w:szCs w:val="22"/>
        </w:rPr>
        <w:t>Agravantes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5.15. As circunstâncias agravantes estão relacionadas à conduta do servidor e atuam contra a sua defesa, majorando o “grau” da conduta.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5.16. No caso em tela, a comissão avaliou que o servidor 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informar as situações consideradas</w:t>
      </w:r>
      <w:r>
        <w:rPr>
          <w:rFonts w:cs="Calibri" w:ascii="Calibri" w:hAnsi="Calibri"/>
          <w:color w:val="000000"/>
          <w:sz w:val="22"/>
          <w:szCs w:val="22"/>
        </w:rPr>
        <w:t>).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5.17. Assim, a comissão considera que essas circunstâncias agravam a conduta praticada, razão pela qual atribui 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número</w:t>
      </w:r>
      <w:r>
        <w:rPr>
          <w:rFonts w:cs="Calibri" w:ascii="Calibri" w:hAnsi="Calibri"/>
          <w:color w:val="000000"/>
          <w:sz w:val="22"/>
          <w:szCs w:val="22"/>
        </w:rPr>
        <w:t xml:space="preserve">) </w:t>
      </w:r>
      <w:r>
        <w:rPr>
          <w:rStyle w:val="Strong"/>
          <w:rFonts w:cs="Calibri" w:ascii="Calibri" w:hAnsi="Calibri"/>
          <w:b w:val="false"/>
          <w:bCs w:val="false"/>
          <w:color w:val="000000"/>
          <w:sz w:val="22"/>
          <w:szCs w:val="22"/>
        </w:rPr>
        <w:t>pontos</w:t>
      </w:r>
      <w:r>
        <w:rPr>
          <w:rFonts w:cs="Calibri" w:ascii="Calibri" w:hAnsi="Calibri"/>
          <w:color w:val="000000"/>
          <w:sz w:val="22"/>
          <w:szCs w:val="22"/>
        </w:rPr>
        <w:t> dentre os 21 possíveis.</w:t>
      </w:r>
    </w:p>
    <w:p>
      <w:pPr>
        <w:pStyle w:val="paragrafonumeradonivel1"/>
        <w:spacing w:beforeAutospacing="0" w:before="120" w:afterAutospacing="0" w:after="120"/>
        <w:ind w:left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Atenuantes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5.18. As circunstâncias atenuantes, por sua vez, são situações relacionadas à conduta do servidor e que agem a seu favor. Tais situações diminuem o “grau” da conduta e, embora não eliminem a culpabilidade do agente, tornam sua conduta menos censurável e implicam na redução da penalidade a ser aplicada. Assim, o peso das atenuantes poderá ser graduado de (-) 21 a zero.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5.19. No caso em tela a comissão reconhece que (descrever as situações consideradas)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5.20. Assim, em razão do exposto, a Comissão entende por atribuir o valor de </w:t>
      </w:r>
      <w:r>
        <w:rPr>
          <w:rStyle w:val="Strong"/>
          <w:rFonts w:cs="Calibri" w:ascii="Calibri" w:hAnsi="Calibri"/>
          <w:b w:val="false"/>
          <w:bCs w:val="false"/>
          <w:color w:val="000000"/>
          <w:sz w:val="22"/>
          <w:szCs w:val="22"/>
        </w:rPr>
        <w:t>(-) (</w:t>
      </w:r>
      <w:r>
        <w:rPr>
          <w:rStyle w:val="Strong"/>
          <w:rFonts w:cs="Calibri" w:ascii="Calibri" w:hAnsi="Calibri"/>
          <w:b w:val="false"/>
          <w:bCs w:val="false"/>
          <w:i/>
          <w:iCs/>
          <w:color w:val="000000"/>
          <w:sz w:val="22"/>
          <w:szCs w:val="22"/>
        </w:rPr>
        <w:t>número</w:t>
      </w:r>
      <w:r>
        <w:rPr>
          <w:rStyle w:val="Strong"/>
          <w:rFonts w:cs="Calibri" w:ascii="Calibri" w:hAnsi="Calibri"/>
          <w:b w:val="false"/>
          <w:bCs w:val="false"/>
          <w:color w:val="000000"/>
          <w:sz w:val="22"/>
          <w:szCs w:val="22"/>
        </w:rPr>
        <w:t>) pontos</w:t>
      </w:r>
      <w:r>
        <w:rPr>
          <w:rFonts w:cs="Calibri" w:ascii="Calibri" w:hAnsi="Calibri"/>
          <w:color w:val="000000"/>
          <w:sz w:val="22"/>
          <w:szCs w:val="22"/>
        </w:rPr>
        <w:t>, quanto ao elemento circunstâncias atenuantes.</w:t>
      </w:r>
    </w:p>
    <w:p>
      <w:pPr>
        <w:pStyle w:val="textojustificadorecuoprimeiralinha"/>
        <w:spacing w:beforeAutospacing="0" w:before="120" w:afterAutospacing="0" w:after="120"/>
        <w:ind w:firstLine="141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Strong"/>
          <w:rFonts w:cs="Calibri" w:ascii="Calibri" w:hAnsi="Calibri"/>
          <w:color w:val="000000"/>
          <w:sz w:val="22"/>
          <w:szCs w:val="22"/>
        </w:rPr>
        <w:t>Dos Antecedentes Funcionais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5.21. Os antecedentes funcionais correspondem às anotações que constam nos assentamentos do servidor, que podem demonstrar o “grau” da sua dedicação e comprometimento com o trabalho e à instituição a que serve ou, em sentido contrário, evidenciar a falta de compromisso no desempenho das suas atividades. Assim, podem ser valorados a favor ou em prejuízo do agente público.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5.22. No presente caso, em análise dos assentamentos funcionais do servidor encaminhados, verificou-se que não constam registros relativos a bons ou maus antecedentes, assim não poderão ser pontuados, de modo que o valor constante na tabela e na calculadora será zero.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  <w:highlight w:val="yellow"/>
        </w:rPr>
        <w:t>(</w:t>
      </w:r>
      <w:r>
        <w:rPr>
          <w:rFonts w:cs="Calibri" w:ascii="Calibri" w:hAnsi="Calibri"/>
          <w:i/>
          <w:iCs/>
          <w:color w:val="000000"/>
          <w:sz w:val="22"/>
          <w:szCs w:val="22"/>
          <w:highlight w:val="yellow"/>
        </w:rPr>
        <w:t>texto alternativo: No presente caso, em análise dos assentamentos funcionais do servidor encaminhados, verificou-se que constam (número) registros relativos a bons (ou maus) antecedentes, razão pela qual a Comissão atribui (número) pontos dentre os 21 possíveis.)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</w:r>
    </w:p>
    <w:p>
      <w:pPr>
        <w:pStyle w:val="textojustificadomaiusculas"/>
        <w:spacing w:beforeAutospacing="0" w:before="120" w:afterAutospacing="0" w:after="120"/>
        <w:ind w:left="708"/>
        <w:jc w:val="both"/>
        <w:rPr>
          <w:rFonts w:ascii="Calibri" w:hAnsi="Calibri" w:cs="Calibri"/>
          <w:caps/>
          <w:color w:val="000000"/>
          <w:sz w:val="22"/>
          <w:szCs w:val="22"/>
        </w:rPr>
      </w:pPr>
      <w:r>
        <w:rPr>
          <w:rStyle w:val="Strong"/>
          <w:rFonts w:cs="Calibri" w:ascii="Calibri" w:hAnsi="Calibri"/>
          <w:color w:val="000000"/>
          <w:sz w:val="22"/>
          <w:szCs w:val="22"/>
        </w:rPr>
        <w:t>Do cálculo da penalidade</w:t>
      </w:r>
    </w:p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5.23. Realizadas as valorações dos cinco elementos balizadores, obtém-se o seguinte cálculo da penalidade:</w:t>
      </w:r>
    </w:p>
    <w:tbl>
      <w:tblPr>
        <w:tblW w:w="8504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0" w:lastRow="0" w:firstColumn="0" w:lastColumn="0" w:noHBand="0" w:val="0000"/>
      </w:tblPr>
      <w:tblGrid>
        <w:gridCol w:w="3508"/>
        <w:gridCol w:w="2619"/>
        <w:gridCol w:w="2377"/>
      </w:tblGrid>
      <w:tr>
        <w:trPr/>
        <w:tc>
          <w:tcPr>
            <w:tcW w:w="85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CCCC" w:val="clear"/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TABELA RESUMO - PONTUAÇÃO</w:t>
            </w:r>
          </w:p>
        </w:tc>
      </w:tr>
      <w:tr>
        <w:trPr/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ELEMENTOS BALIZADORES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GRADUAÇÃO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FEFEF" w:val="clear"/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VALOR</w:t>
            </w:r>
          </w:p>
        </w:tc>
      </w:tr>
      <w:tr>
        <w:trPr>
          <w:trHeight w:val="20" w:hRule="atLeast"/>
        </w:trPr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NATUREZA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uppressAutoHyphens w:val="true"/>
              <w:spacing w:lineRule="auto" w:line="254" w:before="0" w:after="160"/>
              <w:textAlignment w:val="baseline"/>
              <w:rPr/>
            </w:pPr>
            <w:r>
              <w:rPr/>
              <w:t>(CULPA LEVE/ CULPA GRAVE/ DOLO)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uppressAutoHyphens w:val="true"/>
              <w:spacing w:lineRule="auto" w:line="254" w:before="0" w:after="160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GRAVIDADE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uppressAutoHyphens w:val="true"/>
              <w:spacing w:lineRule="auto" w:line="254" w:before="0" w:after="160"/>
              <w:textAlignment w:val="baseline"/>
              <w:rPr/>
            </w:pPr>
            <w:r>
              <w:rPr/>
              <w:t>(LEVE / MÉDIA / ALTA)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uppressAutoHyphens w:val="true"/>
              <w:spacing w:lineRule="auto" w:line="254" w:before="0" w:after="160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DANO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uppressAutoHyphens w:val="true"/>
              <w:spacing w:lineRule="auto" w:line="254" w:before="0" w:after="160"/>
              <w:textAlignment w:val="baseline"/>
              <w:rPr/>
            </w:pPr>
            <w:r>
              <w:rPr/>
              <w:t>(LEVE / MÉDIO / GRAVE)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uppressAutoHyphens w:val="true"/>
              <w:spacing w:lineRule="auto" w:line="254" w:before="0" w:after="160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AGRAVANTES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before="0" w:after="160"/>
              <w:jc w:val="center"/>
              <w:rPr/>
            </w:pPr>
            <w:r>
              <w:rPr/>
              <w:t>-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uppressAutoHyphens w:val="true"/>
              <w:spacing w:lineRule="auto" w:line="254" w:before="0" w:after="160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ATENUANTES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before="0" w:after="160"/>
              <w:jc w:val="center"/>
              <w:rPr/>
            </w:pPr>
            <w:r>
              <w:rPr/>
              <w:t>-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uppressAutoHyphens w:val="true"/>
              <w:spacing w:lineRule="auto" w:line="254" w:before="0" w:after="160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BONS ANTECEDENTES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before="0" w:after="160"/>
              <w:jc w:val="center"/>
              <w:rPr/>
            </w:pPr>
            <w:r>
              <w:rPr/>
              <w:t>-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uppressAutoHyphens w:val="true"/>
              <w:spacing w:lineRule="auto" w:line="254" w:before="0" w:after="160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3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MAUS ANTECEDENTES</w:t>
            </w:r>
          </w:p>
        </w:tc>
        <w:tc>
          <w:tcPr>
            <w:tcW w:w="2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before="0" w:after="160"/>
              <w:jc w:val="center"/>
              <w:rPr/>
            </w:pPr>
            <w:r>
              <w:rPr/>
              <w:t>-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widowControl w:val="false"/>
              <w:suppressLineNumbers/>
              <w:suppressAutoHyphens w:val="true"/>
              <w:spacing w:lineRule="auto" w:line="254" w:before="0" w:after="160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6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CCCC" w:val="clear"/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</w:rPr>
            </w:pPr>
            <w:r>
              <w:rPr>
                <w:rFonts w:ascii="Calibri, sans-serif" w:hAnsi="Calibri, sans-serif"/>
                <w:b/>
                <w:color w:val="000000"/>
              </w:rPr>
              <w:t>SOMATÓRIO</w:t>
            </w:r>
          </w:p>
        </w:tc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CCCCC" w:val="clear"/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>
                <w:rFonts w:ascii="Calibri, sans-serif" w:hAnsi="Calibri, sans-serif"/>
                <w:b/>
                <w:color w:val="000000"/>
                <w:sz w:val="24"/>
              </w:rPr>
            </w:pPr>
            <w:r>
              <w:rPr>
                <w:rFonts w:ascii="Calibri, sans-serif" w:hAnsi="Calibri, sans-serif"/>
                <w:b/>
                <w:color w:val="000000"/>
                <w:sz w:val="24"/>
              </w:rPr>
            </w:r>
          </w:p>
        </w:tc>
      </w:tr>
      <w:tr>
        <w:trPr/>
        <w:tc>
          <w:tcPr>
            <w:tcW w:w="85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Contedodatabela"/>
              <w:spacing w:lineRule="auto" w:line="288" w:before="0" w:after="0"/>
              <w:jc w:val="center"/>
              <w:rPr/>
            </w:pPr>
            <w:r>
              <w:rPr>
                <w:rFonts w:ascii="Calibri, sans-serif" w:hAnsi="Calibri, sans-serif"/>
                <w:b/>
                <w:color w:val="000000"/>
              </w:rPr>
              <w:t xml:space="preserve">CONCLUSÃO: </w:t>
            </w:r>
            <w:r>
              <w:rPr>
                <w:rFonts w:ascii="Calibri, sans-serif" w:hAnsi="Calibri, sans-serif"/>
                <w:color w:val="000000"/>
              </w:rPr>
              <w:t>possibilidade de aplicação de advertência ou suspensão</w:t>
            </w:r>
            <w:r>
              <w:rPr>
                <w:color w:val="000000"/>
              </w:rPr>
              <w:t xml:space="preserve"> </w:t>
            </w:r>
            <w:r>
              <w:rPr>
                <w:rFonts w:ascii="Calibri, sans-serif" w:hAnsi="Calibri, sans-serif"/>
                <w:b/>
                <w:color w:val="000000"/>
              </w:rPr>
              <w:t>de XX (por extenso) dias.</w:t>
            </w:r>
          </w:p>
        </w:tc>
      </w:tr>
    </w:tbl>
    <w:p>
      <w:pPr>
        <w:pStyle w:val="paragrafonumeradonivel1"/>
        <w:spacing w:beforeAutospacing="0" w:before="120" w:afterAutospacing="0" w:after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>5.24. Diante da valoração acima disposta e, somando-se a pontuação dos critérios mediante o uso da "calculadora ”, atingiu-se o somatório de </w:t>
      </w:r>
      <w:r>
        <w:rPr>
          <w:rStyle w:val="Strong"/>
          <w:rFonts w:cs="Calibri" w:ascii="Calibri" w:hAnsi="Calibri"/>
          <w:color w:val="000000"/>
          <w:sz w:val="22"/>
          <w:szCs w:val="22"/>
        </w:rPr>
        <w:t>(número) pontos</w:t>
      </w:r>
      <w:r>
        <w:rPr>
          <w:rFonts w:cs="Calibri" w:ascii="Calibri" w:hAnsi="Calibri"/>
          <w:color w:val="000000"/>
          <w:sz w:val="22"/>
          <w:szCs w:val="22"/>
        </w:rPr>
        <w:t>, que representam (indicar a penalidade), conforme demonstra a tela abaixo:</w:t>
      </w:r>
    </w:p>
    <w:p>
      <w:pPr>
        <w:pStyle w:val="paragrafonumeradonivel1"/>
        <w:spacing w:beforeAutospacing="0" w:before="120" w:afterAutospacing="0" w:after="120"/>
        <w:ind w:left="708"/>
        <w:jc w:val="both"/>
        <w:rPr>
          <w:rFonts w:cs="Calibri"/>
        </w:rPr>
      </w:pPr>
      <w:r>
        <w:rPr>
          <w:rFonts w:cs="Calibri" w:ascii="Calibri" w:hAnsi="Calibri"/>
          <w:color w:val="000000"/>
          <w:sz w:val="22"/>
          <w:szCs w:val="22"/>
        </w:rPr>
        <w:t>(</w:t>
      </w:r>
      <w:r>
        <w:rPr>
          <w:rFonts w:cs="Calibri" w:ascii="Calibri" w:hAnsi="Calibri"/>
          <w:i/>
          <w:iCs/>
          <w:color w:val="000000"/>
          <w:sz w:val="22"/>
          <w:szCs w:val="22"/>
        </w:rPr>
        <w:t>incluir o print da calculadora</w:t>
      </w:r>
      <w:r>
        <w:rPr>
          <w:rFonts w:cs="Calibri" w:ascii="Calibri" w:hAnsi="Calibri"/>
          <w:color w:val="000000"/>
          <w:sz w:val="22"/>
          <w:szCs w:val="22"/>
        </w:rPr>
        <w:t>)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</w:r>
    </w:p>
    <w:p>
      <w:pPr>
        <w:pStyle w:val="Normal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6. DA PRESCRIÇÃO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  <w:t>6.1. Nenhum elemento de caráter temporal inviabiliza a aplicação de penalidades ao acusado.</w:t>
      </w:r>
    </w:p>
    <w:p>
      <w:pPr>
        <w:pStyle w:val="Normal"/>
        <w:jc w:val="both"/>
        <w:rPr>
          <w:rFonts w:cs="Calibri"/>
        </w:rPr>
      </w:pPr>
      <w:r>
        <w:rPr>
          <w:rFonts w:cs="Calibri"/>
          <w:highlight w:val="yellow"/>
        </w:rPr>
        <w:t>(TEXTO ALTERNATIVO: Verifica-se que no transcurso da apuração inviabilizou-se a aplicação da penalidade advertência/suspensão/demissão.)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  <w:t>6.2. Com efeito, a Administração tomou ciência da irregularidade em (DATA). A instauração do processo acusatório interrompeu a prescrição em (DATA). O prazo prescricional somente recomeçou a correr depois de (DIAS) da instauração, em (DATA).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  <w:t>6.3. Como consequência, os prazos prescricionais que incidem sobre a conduta praticada são os seguintes:</w:t>
      </w:r>
    </w:p>
    <w:p>
      <w:pPr>
        <w:pStyle w:val="ListParagraph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 xml:space="preserve">Advertência: (DATA); </w:t>
      </w:r>
    </w:p>
    <w:p>
      <w:pPr>
        <w:pStyle w:val="ListParagraph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Suspensão: (DATA); e</w:t>
      </w:r>
    </w:p>
    <w:p>
      <w:pPr>
        <w:pStyle w:val="ListParagraph"/>
        <w:numPr>
          <w:ilvl w:val="0"/>
          <w:numId w:val="2"/>
        </w:numPr>
        <w:jc w:val="both"/>
        <w:rPr>
          <w:rFonts w:cs="Calibri"/>
        </w:rPr>
      </w:pPr>
      <w:r>
        <w:rPr>
          <w:rFonts w:cs="Calibri"/>
        </w:rPr>
        <w:t>Penalidades expulsivas: (DATA).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/>
          <w:b/>
          <w:bCs/>
          <w:color w:val="4472C4"/>
        </w:rPr>
      </w:pPr>
      <w:r>
        <w:rPr>
          <w:rFonts w:cs="Calibri"/>
          <w:b/>
          <w:bCs/>
        </w:rPr>
        <w:t>7. DA CONCLUSÃO</w:t>
      </w:r>
    </w:p>
    <w:p>
      <w:pPr>
        <w:pStyle w:val="Normal"/>
        <w:jc w:val="both"/>
        <w:rPr>
          <w:rFonts w:cs="Calibri"/>
        </w:rPr>
      </w:pPr>
      <w:r>
        <w:rPr>
          <w:rFonts w:cs="Calibri"/>
        </w:rPr>
        <w:t xml:space="preserve">7.1. Por todo o exposto, foram colhidos os dados suficientes à caracterização prática do ilícito mencionado, razão pela qual se sugere, após sopesar as agravantes e atenuantes e demais circunstâncias, à luz dos arts. 128 e 129 da Lei nº 8.112/1990, a aplicação da pena de ADVERTÊNCIA a (NOME DO SERVIDOR), ocupante do cargo (CARGO), enquadrando sua conduta no (DISPOSITIVO LEGAL) </w:t>
      </w:r>
    </w:p>
    <w:p>
      <w:pPr>
        <w:pStyle w:val="Normal"/>
        <w:jc w:val="both"/>
        <w:rPr>
          <w:rFonts w:cs="Calibri"/>
          <w:color w:val="4472C4"/>
        </w:rPr>
      </w:pPr>
      <w:r>
        <w:rPr>
          <w:rFonts w:cs="Calibri"/>
          <w:highlight w:val="yellow"/>
        </w:rPr>
        <w:t>(TEXTO ALTERNATIVO: Por todo o exposto, foram colhidos os dados suficientes à caracterização prática do ilícito mencionado, razão pela qual se sugere, após sopesar as agravantes e atenuantes e demais circunstâncias, à luz dos arts.128 e 129 da Lei nº 8.112/1990, a aplicação da pena de SUSPENSÃO, na gradação de (NÚMERO DE DIAS) dias, a (NOME DO SERVIDOR), ocupante do cargo (CARGO), enquadrando sua conduta no (DISPOSITIVO LEGAL).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8. DA RECOMENDAÇÃO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>8.1. Observou-se (DESCREVER A CONSTAÇÃO E A RECOMENDAÇÃO).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jc w:val="both"/>
        <w:rPr>
          <w:rFonts w:cs="Calibri" w:cstheme="minorHAnsi"/>
          <w:b/>
          <w:bCs/>
        </w:rPr>
      </w:pPr>
      <w:r>
        <w:rPr>
          <w:rFonts w:cs="Calibri" w:cstheme="minorHAnsi"/>
          <w:b/>
          <w:bCs/>
        </w:rPr>
        <w:t>9. DO ENCAMINHAMENTO À AUTORIDADE INSTAURADORA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9.1. Encerrados os trabalhos, a Comissão de Processo Administrativo Disciplinar submete os autos do presente processo à apreciação da autoridade instauradora, nos termos do art. 166 da Lei n° 8.112/1990, com sugestão da aplicação da penalidade de ADVERTÊNCIA a (NOME DO ACUSADO), ocupante do cargo (CARGO), pelo descumprimento dos deveres previstos (ENQUADRAMENTO LEGAL), pela (CONDUTA  IRREGULAR). 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  <w:highlight w:val="yellow"/>
        </w:rPr>
        <w:t>(TEXTO ALTERNATIVO: Encerrados os trabalhos, a Comissão de Processo Administrativo Disciplinar submete os autos do presente processo à apreciação da autoridade instauradora, nos termos do art. 166 da Lei n° 8.112/1990, com sugestão da aplicação da penalidade de SUSPENSÃO de (NÚMERO DE DIAS) dias a (NOME DO ACUSADO), ocupante do cargo (CARGO), pelo descumprimento dos deveres previstos (ENQUADRAMENTO LEGAL), pela (CONDUTA  IRREGULAR)).</w:t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ind w:right="565"/>
        <w:jc w:val="center"/>
        <w:rPr>
          <w:rFonts w:eastAsia="Calibri" w:cs="Calibri"/>
        </w:rPr>
      </w:pPr>
      <w:r>
        <w:rPr>
          <w:rFonts w:eastAsia="Calibri" w:cs="Calibri"/>
        </w:rPr>
        <w:t>(ASSINATURA DO PRESIDENTE)</w:t>
      </w:r>
    </w:p>
    <w:p>
      <w:pPr>
        <w:pStyle w:val="Normal"/>
        <w:ind w:right="565"/>
        <w:jc w:val="center"/>
        <w:rPr>
          <w:rFonts w:eastAsia="Calibri" w:cs="Calibri"/>
        </w:rPr>
      </w:pPr>
      <w:r>
        <w:rPr>
          <w:rFonts w:eastAsia="Calibri" w:cs="Calibri"/>
        </w:rPr>
        <w:t>(ASSINATURA DO MEMBRO)</w:t>
      </w:r>
    </w:p>
    <w:p>
      <w:pPr>
        <w:pStyle w:val="Normal"/>
        <w:spacing w:before="0" w:after="160"/>
        <w:ind w:right="565"/>
        <w:jc w:val="center"/>
        <w:rPr>
          <w:rFonts w:eastAsia="Calibri" w:cs="Calibri"/>
        </w:rPr>
      </w:pPr>
      <w:r>
        <w:rPr>
          <w:rFonts w:eastAsia="Calibri" w:cs="Calibri"/>
        </w:rPr>
        <w:t>(ASSINATURA DO MEMBRO)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alibri">
    <w:altName w:val=" sans-serif"/>
    <w:charset w:val="00"/>
    <w:family w:val="roman"/>
    <w:pitch w:val="variable"/>
  </w:font>
  <w:font w:name="Calibri">
    <w:altName w:val=" sans-serif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normal"/>
      <w:tblW w:w="849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2830"/>
      <w:gridCol w:w="2830"/>
      <w:gridCol w:w="2830"/>
    </w:tblGrid>
    <w:tr>
      <w:trPr>
        <w:trHeight w:val="300" w:hRule="atLeast"/>
      </w:trPr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ind w:left="-115"/>
            <w:jc w:val="lef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normal"/>
      <w:tblW w:w="849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2830"/>
      <w:gridCol w:w="2830"/>
      <w:gridCol w:w="2830"/>
    </w:tblGrid>
    <w:tr>
      <w:trPr>
        <w:trHeight w:val="300" w:hRule="atLeast"/>
      </w:trPr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ind w:left="-115"/>
            <w:jc w:val="lef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  <w:tc>
        <w:tcPr>
          <w:tcW w:w="2830" w:type="dxa"/>
          <w:tcBorders/>
        </w:tcPr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Calibri" w:hAnsi="Calibri" w:eastAsia="Calibri" w:cs=""/>
              <w:kern w:val="0"/>
              <w:sz w:val="22"/>
              <w:szCs w:val="22"/>
              <w:lang w:val="pt-BR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pStyle w:val="Heading8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8">
    <w:name w:val="heading 8"/>
    <w:basedOn w:val="Normal"/>
    <w:next w:val="Normal"/>
    <w:link w:val="Ttulo8Char"/>
    <w:qFormat/>
    <w:rsid w:val="00126061"/>
    <w:pPr>
      <w:keepNext w:val="true"/>
      <w:numPr>
        <w:ilvl w:val="7"/>
        <w:numId w:val="1"/>
      </w:numPr>
      <w:suppressAutoHyphens w:val="true"/>
      <w:spacing w:lineRule="auto" w:line="240" w:before="0" w:after="0"/>
      <w:outlineLvl w:val="7"/>
    </w:pPr>
    <w:rPr>
      <w:rFonts w:ascii="Arial" w:hAnsi="Arial" w:eastAsia="Times New Roman" w:cs="Arial"/>
      <w:b/>
      <w:bCs/>
      <w:sz w:val="20"/>
      <w:szCs w:val="24"/>
      <w:lang w:eastAsia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126061"/>
    <w:rPr/>
  </w:style>
  <w:style w:type="character" w:styleId="RodapChar" w:customStyle="1">
    <w:name w:val="Rodapé Char"/>
    <w:basedOn w:val="DefaultParagraphFont"/>
    <w:uiPriority w:val="99"/>
    <w:qFormat/>
    <w:rsid w:val="00126061"/>
    <w:rPr/>
  </w:style>
  <w:style w:type="character" w:styleId="Ttulo8Char" w:customStyle="1">
    <w:name w:val="Título 8 Char"/>
    <w:basedOn w:val="DefaultParagraphFont"/>
    <w:qFormat/>
    <w:rsid w:val="00126061"/>
    <w:rPr>
      <w:rFonts w:ascii="Arial" w:hAnsi="Arial" w:eastAsia="Times New Roman" w:cs="Arial"/>
      <w:b/>
      <w:bCs/>
      <w:sz w:val="20"/>
      <w:szCs w:val="24"/>
      <w:lang w:eastAsia="ar-SA"/>
    </w:rPr>
  </w:style>
  <w:style w:type="character" w:styleId="Strong">
    <w:name w:val="Strong"/>
    <w:uiPriority w:val="22"/>
    <w:qFormat/>
    <w:rsid w:val="008c4185"/>
    <w:rPr>
      <w:b/>
      <w:bCs/>
    </w:rPr>
  </w:style>
  <w:style w:type="character" w:styleId="ntrodapeitem" w:customStyle="1">
    <w:name w:val="ntrodape_item"/>
    <w:basedOn w:val="DefaultParagraphFont"/>
    <w:qFormat/>
    <w:rsid w:val="008c4185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12606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12606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aragrafonumeradonivel1" w:customStyle="1">
    <w:name w:val="paragrafo_numerado_nivel1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maiusculas" w:customStyle="1">
    <w:name w:val="texto_justificado_maiusculas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justificadorecuoprimeiralinha" w:customStyle="1">
    <w:name w:val="texto_justificado_recuo_primeira_linha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itacao" w:customStyle="1">
    <w:name w:val="citacao"/>
    <w:basedOn w:val="Normal"/>
    <w:qFormat/>
    <w:rsid w:val="008c418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ontedodatabela" w:customStyle="1">
    <w:name w:val="Conteúdo da tabela"/>
    <w:basedOn w:val="Normal"/>
    <w:qFormat/>
    <w:rsid w:val="00940b82"/>
    <w:pPr>
      <w:widowControl w:val="false"/>
      <w:suppressLineNumbers/>
      <w:suppressAutoHyphens w:val="true"/>
      <w:spacing w:lineRule="auto" w:line="254"/>
      <w:textAlignment w:val="baseline"/>
    </w:pPr>
    <w:rPr>
      <w:rFonts w:ascii="Calibri" w:hAnsi="Calibri" w:eastAsia="Calibri" w:cs="Times New Roman"/>
      <w:kern w:val="2"/>
      <w:lang w:eastAsia="zh-CN"/>
    </w:rPr>
  </w:style>
  <w:style w:type="paragraph" w:styleId="ListParagraph">
    <w:name w:val="List Paragraph"/>
    <w:basedOn w:val="Normal"/>
    <w:uiPriority w:val="34"/>
    <w:qFormat/>
    <w:rsid w:val="004e684f"/>
    <w:pPr>
      <w:spacing w:before="0" w:after="160"/>
      <w:ind w:left="720"/>
      <w:contextualSpacing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7</Pages>
  <Words>2283</Words>
  <Characters>12865</Characters>
  <CharactersWithSpaces>15036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2021-07-12T15:18:00Z</dcterms:created>
  <dc:creator>Carla Cotta</dc:creator>
  <dc:description/>
  <dc:language>pt-BR</dc:language>
  <cp:lastModifiedBy/>
  <dcterms:modified xsi:type="dcterms:W3CDTF">2026-08-31T09:42:45Z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